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3118" w14:textId="77777777" w:rsidR="00EC272B" w:rsidRDefault="003512B8">
      <w:pPr>
        <w:jc w:val="center"/>
        <w:rPr>
          <w:rFonts w:ascii="Helvetica" w:eastAsia="Helvetica" w:hAnsi="Helvetica" w:cs="Helvetica"/>
          <w:b/>
          <w:bCs/>
          <w:sz w:val="32"/>
          <w:szCs w:val="32"/>
          <w:shd w:val="clear" w:color="auto" w:fill="FFFF00"/>
        </w:rPr>
      </w:pPr>
      <w:r>
        <w:rPr>
          <w:rFonts w:ascii="Helvetica" w:hAnsi="Helvetica"/>
          <w:b/>
          <w:bCs/>
          <w:sz w:val="32"/>
          <w:szCs w:val="32"/>
        </w:rPr>
        <w:t xml:space="preserve">Corso di alta formazione </w:t>
      </w:r>
      <w:r>
        <w:rPr>
          <w:rFonts w:ascii="Helvetica" w:hAnsi="Helvetica"/>
          <w:b/>
          <w:bCs/>
          <w:sz w:val="32"/>
          <w:szCs w:val="32"/>
        </w:rPr>
        <w:t>“</w:t>
      </w:r>
      <w:r>
        <w:rPr>
          <w:rFonts w:ascii="Helvetica" w:hAnsi="Helvetica"/>
          <w:b/>
          <w:bCs/>
          <w:sz w:val="32"/>
          <w:szCs w:val="32"/>
        </w:rPr>
        <w:t xml:space="preserve">I disturbi degli apprendimenti scolastici e i disturbi del </w:t>
      </w:r>
      <w:proofErr w:type="spellStart"/>
      <w:r>
        <w:rPr>
          <w:rFonts w:ascii="Helvetica" w:hAnsi="Helvetica"/>
          <w:b/>
          <w:bCs/>
          <w:sz w:val="32"/>
          <w:szCs w:val="32"/>
        </w:rPr>
        <w:t>neurosviluppo</w:t>
      </w:r>
      <w:proofErr w:type="spellEnd"/>
      <w:r>
        <w:rPr>
          <w:rFonts w:ascii="Helvetica" w:hAnsi="Helvetica"/>
          <w:b/>
          <w:bCs/>
          <w:sz w:val="32"/>
          <w:szCs w:val="32"/>
        </w:rPr>
        <w:t xml:space="preserve">: teorie e normativa di riferimento, percorso diagnostico e riabilitativo, gestione e trattamento dei </w:t>
      </w:r>
      <w:proofErr w:type="spellStart"/>
      <w:r>
        <w:rPr>
          <w:rFonts w:ascii="Helvetica" w:hAnsi="Helvetica"/>
          <w:b/>
          <w:bCs/>
          <w:sz w:val="32"/>
          <w:szCs w:val="32"/>
        </w:rPr>
        <w:t>DSAp</w:t>
      </w:r>
      <w:proofErr w:type="spellEnd"/>
      <w:r>
        <w:rPr>
          <w:rFonts w:ascii="Helvetica" w:hAnsi="Helvetica"/>
          <w:b/>
          <w:bCs/>
          <w:sz w:val="32"/>
          <w:szCs w:val="32"/>
        </w:rPr>
        <w:t>”</w:t>
      </w:r>
    </w:p>
    <w:p w14:paraId="471D5669" w14:textId="77777777" w:rsidR="00EC272B" w:rsidRDefault="003512B8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Data inizio corso 28/01/2020</w:t>
      </w:r>
    </w:p>
    <w:p w14:paraId="4B88DB2D" w14:textId="77777777" w:rsidR="00EC272B" w:rsidRDefault="00EC272B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5C4D2FCD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Sede del </w:t>
      </w:r>
      <w:r>
        <w:rPr>
          <w:rFonts w:ascii="Helvetica" w:hAnsi="Helvetica"/>
          <w:b/>
          <w:bCs/>
          <w:sz w:val="32"/>
          <w:szCs w:val="32"/>
        </w:rPr>
        <w:t>corso:</w:t>
      </w:r>
    </w:p>
    <w:p w14:paraId="182FBF3D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Centro P.O.P. - Studio Associato di Psicologia </w:t>
      </w:r>
    </w:p>
    <w:p w14:paraId="7AC852FC" w14:textId="4A4D4F6A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i/>
          <w:iCs/>
          <w:sz w:val="30"/>
          <w:szCs w:val="30"/>
        </w:rPr>
      </w:pPr>
      <w:r>
        <w:rPr>
          <w:rFonts w:ascii="Helvetica" w:hAnsi="Helvetica"/>
          <w:b/>
          <w:bCs/>
          <w:i/>
          <w:iCs/>
          <w:sz w:val="30"/>
          <w:szCs w:val="30"/>
        </w:rPr>
        <w:t>di Arianna Tozzi e Filippo Martellacci</w:t>
      </w:r>
      <w:r>
        <w:rPr>
          <w:rFonts w:ascii="Helvetica" w:hAnsi="Helvetica"/>
          <w:b/>
          <w:bCs/>
          <w:i/>
          <w:iCs/>
          <w:sz w:val="30"/>
          <w:szCs w:val="30"/>
        </w:rPr>
        <w:t xml:space="preserve"> </w:t>
      </w:r>
    </w:p>
    <w:p w14:paraId="722486DA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7E565C64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52236AA1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33BE7788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2CFC7C77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Piazza Manin, 15 57126 Livorno </w:t>
      </w:r>
    </w:p>
    <w:p w14:paraId="6D3FB5D2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402F3C44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</w:rPr>
      </w:pP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Responsabile Scientifico:</w:t>
      </w:r>
    </w:p>
    <w:p w14:paraId="6F27C3A8" w14:textId="77777777" w:rsidR="00EC272B" w:rsidRDefault="003512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Dott.ssa Arianna Tozzi</w:t>
      </w:r>
    </w:p>
    <w:p w14:paraId="638A04C2" w14:textId="77777777" w:rsidR="00EC272B" w:rsidRDefault="00EC272B">
      <w:pPr>
        <w:spacing w:after="0"/>
        <w:jc w:val="center"/>
      </w:pPr>
    </w:p>
    <w:p w14:paraId="40E562B7" w14:textId="77777777" w:rsidR="00EC272B" w:rsidRDefault="003512B8">
      <w:pPr>
        <w:spacing w:after="0"/>
        <w:jc w:val="center"/>
        <w:rPr>
          <w:sz w:val="24"/>
          <w:szCs w:val="24"/>
        </w:rPr>
      </w:pP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Segreteria Scientifica:</w:t>
      </w:r>
      <w:r>
        <w:rPr>
          <w:sz w:val="24"/>
          <w:szCs w:val="24"/>
        </w:rPr>
        <w:t xml:space="preserve"> Dr. Arianna Tozzi </w:t>
      </w:r>
    </w:p>
    <w:p w14:paraId="3B08D0F6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  <w:shd w:val="clear" w:color="auto" w:fill="FFFF00"/>
        </w:rPr>
      </w:pPr>
    </w:p>
    <w:p w14:paraId="5C4535F9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Segreteria </w:t>
      </w:r>
      <w:r>
        <w:rPr>
          <w:rFonts w:ascii="Helvetica" w:hAnsi="Helvetica"/>
          <w:b/>
          <w:bCs/>
          <w:sz w:val="32"/>
          <w:szCs w:val="32"/>
        </w:rPr>
        <w:t>Organizzativa:</w:t>
      </w:r>
    </w:p>
    <w:p w14:paraId="66346BAB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Centro </w:t>
      </w:r>
      <w:proofErr w:type="spellStart"/>
      <w:r>
        <w:rPr>
          <w:rFonts w:ascii="Helvetica" w:hAnsi="Helvetica"/>
          <w:b/>
          <w:bCs/>
          <w:sz w:val="32"/>
          <w:szCs w:val="32"/>
        </w:rPr>
        <w:t>MeMe</w:t>
      </w:r>
      <w:proofErr w:type="spellEnd"/>
      <w:r>
        <w:rPr>
          <w:rFonts w:ascii="Helvetica" w:hAnsi="Helvetica"/>
          <w:b/>
          <w:bCs/>
          <w:sz w:val="32"/>
          <w:szCs w:val="32"/>
        </w:rPr>
        <w:t xml:space="preserve"> </w:t>
      </w:r>
      <w:r>
        <w:rPr>
          <w:rFonts w:ascii="Helvetica" w:hAnsi="Helvetica"/>
          <w:b/>
          <w:bCs/>
          <w:sz w:val="32"/>
          <w:szCs w:val="32"/>
        </w:rPr>
        <w:t xml:space="preserve">– </w:t>
      </w:r>
      <w:r>
        <w:rPr>
          <w:rFonts w:ascii="Helvetica" w:hAnsi="Helvetica"/>
          <w:b/>
          <w:bCs/>
          <w:sz w:val="32"/>
          <w:szCs w:val="32"/>
        </w:rPr>
        <w:t xml:space="preserve">Formazione e Professione </w:t>
      </w:r>
    </w:p>
    <w:p w14:paraId="041373A3" w14:textId="12EC7006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bookmarkStart w:id="0" w:name="_GoBack"/>
      <w:bookmarkEnd w:id="0"/>
    </w:p>
    <w:p w14:paraId="7947F8FF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Via Milano, 28 50013 Campi Bisenzio (FI)</w:t>
      </w:r>
    </w:p>
    <w:p w14:paraId="59284519" w14:textId="77777777" w:rsidR="00EC272B" w:rsidRDefault="003512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Rif. Amministrativo: Dr.ssa Cipriana Mengozzi –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3385426227, centromeme@centromeme.it</w:t>
      </w:r>
    </w:p>
    <w:p w14:paraId="78EFB0A9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1E5948C5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</w:rPr>
      </w:pP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Destinatari dell</w:t>
      </w: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’</w:t>
      </w: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iniziativa:</w:t>
      </w:r>
    </w:p>
    <w:p w14:paraId="62496D54" w14:textId="77777777" w:rsidR="00EC272B" w:rsidRDefault="003512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Psicologo, </w:t>
      </w:r>
      <w:r>
        <w:rPr>
          <w:sz w:val="24"/>
          <w:szCs w:val="24"/>
        </w:rPr>
        <w:t>Psicoterapeuta. Medico, Neuropsichiatra, Psichiatra., Medico del Lavoro.</w:t>
      </w:r>
    </w:p>
    <w:p w14:paraId="35F41F76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8"/>
          <w:szCs w:val="28"/>
          <w:u w:color="993366"/>
          <w:shd w:val="clear" w:color="auto" w:fill="FFFF00"/>
        </w:rPr>
      </w:pPr>
    </w:p>
    <w:p w14:paraId="7167B394" w14:textId="77777777" w:rsidR="00EC272B" w:rsidRDefault="00EC272B">
      <w:pPr>
        <w:spacing w:after="0"/>
        <w:jc w:val="center"/>
        <w:rPr>
          <w:sz w:val="24"/>
          <w:szCs w:val="24"/>
          <w:shd w:val="clear" w:color="auto" w:fill="FFFF00"/>
        </w:rPr>
      </w:pPr>
    </w:p>
    <w:p w14:paraId="32611A12" w14:textId="77777777" w:rsidR="00EC272B" w:rsidRDefault="003512B8">
      <w:pPr>
        <w:spacing w:after="0" w:line="240" w:lineRule="auto"/>
        <w:jc w:val="center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Obiettivo Nazionale: Contenuti tecnico professionali (18)</w:t>
      </w:r>
    </w:p>
    <w:p w14:paraId="5231EE31" w14:textId="77777777" w:rsidR="00EC272B" w:rsidRDefault="00EC272B">
      <w:pPr>
        <w:spacing w:after="0" w:line="240" w:lineRule="auto"/>
        <w:jc w:val="center"/>
        <w:rPr>
          <w:rFonts w:ascii="Helvetica" w:eastAsia="Helvetica" w:hAnsi="Helvetica" w:cs="Helvetica"/>
          <w:i/>
          <w:iCs/>
        </w:rPr>
      </w:pPr>
    </w:p>
    <w:p w14:paraId="608BBCD8" w14:textId="77777777" w:rsidR="00EC272B" w:rsidRDefault="003512B8">
      <w:pPr>
        <w:spacing w:after="0" w:line="240" w:lineRule="auto"/>
        <w:jc w:val="center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50 crediti ECM </w:t>
      </w:r>
      <w:r>
        <w:rPr>
          <w:rFonts w:ascii="Helvetica" w:hAnsi="Helvetica"/>
          <w:b/>
          <w:bCs/>
          <w:i/>
          <w:iCs/>
        </w:rPr>
        <w:t xml:space="preserve">– </w:t>
      </w:r>
      <w:r>
        <w:rPr>
          <w:rFonts w:ascii="Helvetica" w:hAnsi="Helvetica"/>
          <w:b/>
          <w:bCs/>
          <w:i/>
          <w:iCs/>
        </w:rPr>
        <w:t>n. 100 ore d</w:t>
      </w:r>
      <w:r>
        <w:rPr>
          <w:rFonts w:ascii="Helvetica" w:hAnsi="Helvetica"/>
          <w:b/>
          <w:bCs/>
          <w:i/>
          <w:iCs/>
        </w:rPr>
        <w:t>’</w:t>
      </w:r>
      <w:r>
        <w:rPr>
          <w:rFonts w:ascii="Helvetica" w:hAnsi="Helvetica"/>
          <w:b/>
          <w:bCs/>
          <w:i/>
          <w:iCs/>
        </w:rPr>
        <w:t>Aula</w:t>
      </w:r>
    </w:p>
    <w:p w14:paraId="6BD88BA6" w14:textId="77777777" w:rsidR="00EC272B" w:rsidRDefault="00EC272B">
      <w:pPr>
        <w:spacing w:after="0" w:line="240" w:lineRule="auto"/>
        <w:jc w:val="center"/>
        <w:rPr>
          <w:rFonts w:ascii="Helvetica" w:eastAsia="Helvetica" w:hAnsi="Helvetica" w:cs="Helvetica"/>
          <w:i/>
          <w:iCs/>
          <w:shd w:val="clear" w:color="auto" w:fill="FFFF00"/>
        </w:rPr>
      </w:pPr>
    </w:p>
    <w:p w14:paraId="6D724FB2" w14:textId="77777777" w:rsidR="00EC272B" w:rsidRDefault="003512B8">
      <w:pPr>
        <w:spacing w:after="0" w:line="240" w:lineRule="auto"/>
        <w:jc w:val="center"/>
        <w:rPr>
          <w:rFonts w:ascii="Helvetica" w:eastAsia="Helvetica" w:hAnsi="Helvetica" w:cs="Helvetica"/>
          <w:i/>
          <w:iCs/>
          <w:shd w:val="clear" w:color="auto" w:fill="FFFF00"/>
        </w:rPr>
      </w:pPr>
      <w:r>
        <w:rPr>
          <w:rFonts w:ascii="Helvetica" w:hAnsi="Helvetica"/>
          <w:i/>
          <w:iCs/>
          <w:shd w:val="clear" w:color="auto" w:fill="FFFF00"/>
        </w:rPr>
        <w:t xml:space="preserve">ID </w:t>
      </w:r>
      <w:proofErr w:type="spellStart"/>
      <w:r>
        <w:rPr>
          <w:rFonts w:ascii="Helvetica" w:hAnsi="Helvetica"/>
          <w:i/>
          <w:iCs/>
          <w:shd w:val="clear" w:color="auto" w:fill="FFFF00"/>
        </w:rPr>
        <w:t>AgeNaS</w:t>
      </w:r>
      <w:proofErr w:type="spellEnd"/>
      <w:r>
        <w:rPr>
          <w:rFonts w:ascii="Helvetica" w:hAnsi="Helvetica"/>
          <w:i/>
          <w:iCs/>
          <w:shd w:val="clear" w:color="auto" w:fill="FFFF00"/>
        </w:rPr>
        <w:t xml:space="preserve">: </w:t>
      </w:r>
      <w:r w:rsidR="00D80335">
        <w:rPr>
          <w:rFonts w:ascii="Helvetica" w:hAnsi="Helvetica"/>
          <w:i/>
          <w:iCs/>
          <w:shd w:val="clear" w:color="auto" w:fill="FFFF00"/>
        </w:rPr>
        <w:t>286731</w:t>
      </w:r>
      <w:r>
        <w:rPr>
          <w:rFonts w:ascii="Helvetica" w:hAnsi="Helvetica"/>
          <w:i/>
          <w:iCs/>
          <w:shd w:val="clear" w:color="auto" w:fill="FFFF00"/>
        </w:rPr>
        <w:t xml:space="preserve"> </w:t>
      </w:r>
    </w:p>
    <w:p w14:paraId="55684B2F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  <w:shd w:val="clear" w:color="auto" w:fill="FFFF00"/>
        </w:rPr>
      </w:pPr>
    </w:p>
    <w:p w14:paraId="1D193D17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</w:rPr>
      </w:pP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Razionale</w:t>
      </w:r>
    </w:p>
    <w:p w14:paraId="6C496E39" w14:textId="77777777" w:rsidR="00EC272B" w:rsidRDefault="00EC272B">
      <w:pPr>
        <w:spacing w:after="0"/>
        <w:jc w:val="both"/>
        <w:rPr>
          <w:sz w:val="24"/>
          <w:szCs w:val="24"/>
          <w:shd w:val="clear" w:color="auto" w:fill="FFFF00"/>
        </w:rPr>
      </w:pPr>
    </w:p>
    <w:p w14:paraId="58167CDD" w14:textId="77777777" w:rsidR="00EC272B" w:rsidRDefault="003512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il corso di formazione specifico sui disturbi degli apprendimenti scolastici e sui disturbi del </w:t>
      </w:r>
      <w:proofErr w:type="spellStart"/>
      <w:r>
        <w:rPr>
          <w:sz w:val="24"/>
          <w:szCs w:val="24"/>
        </w:rPr>
        <w:t>neurosviluppo</w:t>
      </w:r>
      <w:proofErr w:type="spellEnd"/>
      <w:r>
        <w:rPr>
          <w:sz w:val="24"/>
          <w:szCs w:val="24"/>
        </w:rPr>
        <w:t xml:space="preserve">, ai fini della diagnosi e del trattamento dei </w:t>
      </w:r>
      <w:proofErr w:type="spellStart"/>
      <w:r>
        <w:rPr>
          <w:sz w:val="24"/>
          <w:szCs w:val="24"/>
        </w:rPr>
        <w:t>DSAp</w:t>
      </w:r>
      <w:proofErr w:type="spellEnd"/>
      <w:r>
        <w:rPr>
          <w:sz w:val="24"/>
          <w:szCs w:val="24"/>
        </w:rPr>
        <w:t xml:space="preserve">. Il titolo completo del Corso è: I disturbi degli apprendimenti scolastici e i disturbi del </w:t>
      </w:r>
      <w:proofErr w:type="spellStart"/>
      <w:r>
        <w:rPr>
          <w:sz w:val="24"/>
          <w:szCs w:val="24"/>
        </w:rPr>
        <w:t>neu</w:t>
      </w:r>
      <w:r>
        <w:rPr>
          <w:sz w:val="24"/>
          <w:szCs w:val="24"/>
        </w:rPr>
        <w:t>rosviluppo</w:t>
      </w:r>
      <w:proofErr w:type="spellEnd"/>
      <w:r>
        <w:rPr>
          <w:sz w:val="24"/>
          <w:szCs w:val="24"/>
        </w:rPr>
        <w:t xml:space="preserve">: Teorie e normative di riferimento, percorso diagnostico e riabilitativo, gestione e trattamento dei </w:t>
      </w:r>
      <w:proofErr w:type="spellStart"/>
      <w:r>
        <w:rPr>
          <w:sz w:val="24"/>
          <w:szCs w:val="24"/>
        </w:rPr>
        <w:t>DSAp</w:t>
      </w:r>
      <w:proofErr w:type="spellEnd"/>
      <w:r>
        <w:rPr>
          <w:sz w:val="24"/>
          <w:szCs w:val="24"/>
        </w:rPr>
        <w:t>. Il percorso formativo è rivolto a professionisti già operanti nel settore, fortemente esperienziale, orientato alla pratica clinica e allo</w:t>
      </w:r>
      <w:r>
        <w:rPr>
          <w:sz w:val="24"/>
          <w:szCs w:val="24"/>
        </w:rPr>
        <w:t xml:space="preserve"> studio di caso. È un’occasione per sviluppare ulteriormente e condividere conoscenze e competenze operative nell’ambito dei </w:t>
      </w:r>
      <w:proofErr w:type="spellStart"/>
      <w:r>
        <w:rPr>
          <w:sz w:val="24"/>
          <w:szCs w:val="24"/>
        </w:rPr>
        <w:t>DSAp</w:t>
      </w:r>
      <w:proofErr w:type="spellEnd"/>
      <w:r>
        <w:rPr>
          <w:sz w:val="24"/>
          <w:szCs w:val="24"/>
        </w:rPr>
        <w:t xml:space="preserve"> (Disturbi Specifici dell’Apprendimento). Le tematiche trattate vanno dalla diagnosi al trattamento, in base alle più recenti c</w:t>
      </w:r>
      <w:r>
        <w:rPr>
          <w:sz w:val="24"/>
          <w:szCs w:val="24"/>
        </w:rPr>
        <w:t xml:space="preserve">onoscenze cliniche ed evidenze scientifiche. Sono stati inseriti aspetti innovativi e trasversali, quali il </w:t>
      </w:r>
      <w:proofErr w:type="spellStart"/>
      <w:r>
        <w:rPr>
          <w:sz w:val="24"/>
          <w:szCs w:val="24"/>
        </w:rPr>
        <w:t>Parent</w:t>
      </w:r>
      <w:proofErr w:type="spellEnd"/>
      <w:r>
        <w:rPr>
          <w:sz w:val="24"/>
          <w:szCs w:val="24"/>
        </w:rPr>
        <w:t xml:space="preserve"> Training e la diagnosi differenziale optometrica.</w:t>
      </w:r>
    </w:p>
    <w:p w14:paraId="71C1035F" w14:textId="77777777" w:rsidR="00EC272B" w:rsidRDefault="00EC272B">
      <w:pPr>
        <w:spacing w:after="0"/>
        <w:jc w:val="both"/>
        <w:rPr>
          <w:sz w:val="24"/>
          <w:szCs w:val="24"/>
        </w:rPr>
      </w:pPr>
    </w:p>
    <w:p w14:paraId="14AB5298" w14:textId="77777777" w:rsidR="00EC272B" w:rsidRDefault="00EC272B">
      <w:pPr>
        <w:spacing w:after="0"/>
        <w:jc w:val="both"/>
        <w:rPr>
          <w:shd w:val="clear" w:color="auto" w:fill="FFFF00"/>
        </w:rPr>
      </w:pPr>
    </w:p>
    <w:p w14:paraId="0B8C4719" w14:textId="77777777" w:rsidR="00EC272B" w:rsidRDefault="003512B8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</w:rPr>
      </w:pPr>
      <w:r>
        <w:rPr>
          <w:rFonts w:ascii="Helvetica" w:hAnsi="Helvetica"/>
          <w:b/>
          <w:bCs/>
          <w:color w:val="993366"/>
          <w:sz w:val="24"/>
          <w:szCs w:val="24"/>
          <w:u w:color="993366"/>
        </w:rPr>
        <w:t>Programma</w:t>
      </w:r>
    </w:p>
    <w:p w14:paraId="1F902E33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</w:rPr>
      </w:pPr>
    </w:p>
    <w:tbl>
      <w:tblPr>
        <w:tblStyle w:val="TableNormal"/>
        <w:tblW w:w="8887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4" w:space="0" w:color="A0A0A0"/>
          <w:insideV w:val="single" w:sz="4" w:space="0" w:color="A0A0A0"/>
        </w:tblBorders>
        <w:shd w:val="clear" w:color="auto" w:fill="08CBC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796"/>
        <w:gridCol w:w="2134"/>
        <w:gridCol w:w="3444"/>
      </w:tblGrid>
      <w:tr w:rsidR="00EC272B" w14:paraId="2F686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  <w:tblHeader/>
          <w:jc w:val="center"/>
        </w:trPr>
        <w:tc>
          <w:tcPr>
            <w:tcW w:w="1512" w:type="dxa"/>
            <w:tcBorders>
              <w:top w:val="single" w:sz="4" w:space="0" w:color="A0A0A0"/>
              <w:left w:val="single" w:sz="4" w:space="0" w:color="A0A0A0"/>
              <w:bottom w:val="single" w:sz="6" w:space="0" w:color="929292"/>
              <w:right w:val="single" w:sz="2" w:space="0" w:color="A0A0A0"/>
            </w:tcBorders>
            <w:shd w:val="clear" w:color="auto" w:fill="08CB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2321" w14:textId="77777777" w:rsidR="00EC272B" w:rsidRDefault="003512B8">
            <w:pPr>
              <w:pStyle w:val="Stiletabella1"/>
              <w:tabs>
                <w:tab w:val="left" w:pos="720"/>
                <w:tab w:val="left" w:pos="1440"/>
              </w:tabs>
              <w:jc w:val="center"/>
            </w:pPr>
            <w:r>
              <w:rPr>
                <w:caps/>
                <w:color w:val="474747"/>
              </w:rPr>
              <w:t>data</w:t>
            </w:r>
          </w:p>
        </w:tc>
        <w:tc>
          <w:tcPr>
            <w:tcW w:w="1796" w:type="dxa"/>
            <w:tcBorders>
              <w:top w:val="single" w:sz="4" w:space="0" w:color="A0A0A0"/>
              <w:left w:val="single" w:sz="2" w:space="0" w:color="A0A0A0"/>
              <w:bottom w:val="single" w:sz="6" w:space="0" w:color="929292"/>
              <w:right w:val="single" w:sz="2" w:space="0" w:color="A0A0A0"/>
            </w:tcBorders>
            <w:shd w:val="clear" w:color="auto" w:fill="08CB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5A992" w14:textId="77777777" w:rsidR="00EC272B" w:rsidRDefault="003512B8">
            <w:pPr>
              <w:pStyle w:val="Stiletabella1"/>
              <w:tabs>
                <w:tab w:val="left" w:pos="720"/>
                <w:tab w:val="left" w:pos="1440"/>
              </w:tabs>
              <w:jc w:val="center"/>
            </w:pPr>
            <w:r>
              <w:rPr>
                <w:caps/>
                <w:color w:val="474747"/>
              </w:rPr>
              <w:t>ORARIO</w:t>
            </w:r>
          </w:p>
        </w:tc>
        <w:tc>
          <w:tcPr>
            <w:tcW w:w="2134" w:type="dxa"/>
            <w:tcBorders>
              <w:top w:val="single" w:sz="4" w:space="0" w:color="A0A0A0"/>
              <w:left w:val="single" w:sz="2" w:space="0" w:color="A0A0A0"/>
              <w:bottom w:val="single" w:sz="6" w:space="0" w:color="929292"/>
              <w:right w:val="single" w:sz="2" w:space="0" w:color="A0A0A0"/>
            </w:tcBorders>
            <w:shd w:val="clear" w:color="auto" w:fill="08CB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6EDD3" w14:textId="77777777" w:rsidR="00EC272B" w:rsidRDefault="003512B8">
            <w:pPr>
              <w:pStyle w:val="Stiletabella1"/>
              <w:tabs>
                <w:tab w:val="left" w:pos="720"/>
                <w:tab w:val="left" w:pos="1440"/>
              </w:tabs>
              <w:jc w:val="center"/>
            </w:pPr>
            <w:r>
              <w:rPr>
                <w:caps/>
                <w:color w:val="474747"/>
              </w:rPr>
              <w:t>DOCENTE</w:t>
            </w:r>
          </w:p>
        </w:tc>
        <w:tc>
          <w:tcPr>
            <w:tcW w:w="3444" w:type="dxa"/>
            <w:tcBorders>
              <w:top w:val="single" w:sz="4" w:space="0" w:color="A0A0A0"/>
              <w:left w:val="single" w:sz="2" w:space="0" w:color="A0A0A0"/>
              <w:bottom w:val="single" w:sz="6" w:space="0" w:color="929292"/>
              <w:right w:val="single" w:sz="4" w:space="0" w:color="A0A0A0"/>
            </w:tcBorders>
            <w:shd w:val="clear" w:color="auto" w:fill="08CB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EA2CE" w14:textId="77777777" w:rsidR="00EC272B" w:rsidRDefault="003512B8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aps/>
                <w:color w:val="474747"/>
              </w:rPr>
              <w:t>ARGOMENTI</w:t>
            </w:r>
          </w:p>
        </w:tc>
      </w:tr>
      <w:tr w:rsidR="00EC272B" w14:paraId="1D36D31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1512" w:type="dxa"/>
            <w:tcBorders>
              <w:top w:val="single" w:sz="6" w:space="0" w:color="929292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01B4A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28.01.2020</w:t>
            </w:r>
          </w:p>
        </w:tc>
        <w:tc>
          <w:tcPr>
            <w:tcW w:w="1796" w:type="dxa"/>
            <w:tcBorders>
              <w:top w:val="single" w:sz="6" w:space="0" w:color="929292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C12E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9.00-11.00</w:t>
            </w:r>
          </w:p>
        </w:tc>
        <w:tc>
          <w:tcPr>
            <w:tcW w:w="2134" w:type="dxa"/>
            <w:tcBorders>
              <w:top w:val="single" w:sz="6" w:space="0" w:color="929292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6FB65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ARIANNA TOZZI  </w:t>
            </w:r>
          </w:p>
        </w:tc>
        <w:tc>
          <w:tcPr>
            <w:tcW w:w="3444" w:type="dxa"/>
            <w:tcBorders>
              <w:top w:val="single" w:sz="6" w:space="0" w:color="929292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2AEE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Linee guida. Percorso di osservazione in equipe multidisciplinare</w:t>
            </w:r>
          </w:p>
        </w:tc>
      </w:tr>
      <w:tr w:rsidR="00EC272B" w14:paraId="5456C77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D387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8D3A2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11.00-13-00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D5C6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FILIPPO MARTELLACCI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0AA9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Primo colloquio di accesso</w:t>
            </w:r>
          </w:p>
        </w:tc>
      </w:tr>
      <w:tr w:rsidR="00EC272B" w14:paraId="5F26B14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0FEC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04.02.2020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8A5B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92B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SIMONETTA MONTI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244E" w14:textId="77777777" w:rsidR="00EC272B" w:rsidRDefault="003512B8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  <w:color w:val="474747"/>
              </w:rPr>
              <w:t>La visita NPI</w:t>
            </w:r>
          </w:p>
        </w:tc>
      </w:tr>
      <w:tr w:rsidR="00EC272B" w14:paraId="5DB815C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F50A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11.02.2020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4715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C5E3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ARIANNA TOZZI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1389" w14:textId="77777777" w:rsidR="00EC272B" w:rsidRDefault="003512B8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  <w:color w:val="474747"/>
              </w:rPr>
              <w:t xml:space="preserve">La </w:t>
            </w:r>
            <w:r>
              <w:rPr>
                <w:b/>
                <w:bCs/>
                <w:color w:val="474747"/>
              </w:rPr>
              <w:t>valutazione cognitiva</w:t>
            </w:r>
          </w:p>
        </w:tc>
      </w:tr>
      <w:tr w:rsidR="00EC272B" w14:paraId="1BC2F4C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7206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18.02.2020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497E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81D4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MARIACIELO RONDONI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6D5C0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Sviluppo tipico e atipico del linguaggio</w:t>
            </w:r>
          </w:p>
        </w:tc>
      </w:tr>
      <w:tr w:rsidR="00EC272B" w14:paraId="53DCD95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46F7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29.02.2020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23B5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09.00-11.00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B68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ARIANNA 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F9ED3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Diagnosi di dislessia</w:t>
            </w:r>
          </w:p>
        </w:tc>
      </w:tr>
      <w:tr w:rsidR="00EC272B" w14:paraId="68514F0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A025E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29.02.2020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9B958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11.00-13.00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6611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  CINZIA DEL RIO 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992F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La valutazione della lettura</w:t>
            </w:r>
          </w:p>
        </w:tc>
      </w:tr>
      <w:tr w:rsidR="00EC272B" w14:paraId="48E02C2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2A1A8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06E25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13.00-14.00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3931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Pausa pranzo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C5AB" w14:textId="77777777" w:rsidR="00EC272B" w:rsidRDefault="00EC272B"/>
        </w:tc>
      </w:tr>
      <w:tr w:rsidR="00EC272B" w14:paraId="0EFC8A4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B7BF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0396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14.00-16.00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6C3C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  ARIANNA 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AEC00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Diagnosi di disortografia  </w:t>
            </w:r>
          </w:p>
        </w:tc>
      </w:tr>
      <w:tr w:rsidR="00EC272B" w14:paraId="1CDA517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27EB2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33A85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16.00-18.00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8E194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  CINZIA DEL RIO 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9566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La valutazione della scrittura</w:t>
            </w:r>
          </w:p>
        </w:tc>
      </w:tr>
      <w:tr w:rsidR="00EC272B" w14:paraId="34C91E0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C274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03.03.2020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CAE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2BEC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SILVIA LOMBARDO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E530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Valutazione del calcolo e risoluzione di problemi</w:t>
            </w:r>
          </w:p>
        </w:tc>
      </w:tr>
      <w:tr w:rsidR="00EC272B" w14:paraId="41CD508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F5B7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07.04.2020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2FCB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4F11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DAIANA DONELLI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3497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Studi di caso, utilizzo dei test e integrazione con il percorso di anamnesi e osservazione</w:t>
            </w:r>
          </w:p>
        </w:tc>
      </w:tr>
      <w:tr w:rsidR="00EC272B" w14:paraId="3583F27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5CC6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 xml:space="preserve">14.04.2020 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F234C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EEC2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FEDERICA CIAPONI / SILVIA LOMBARDO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3B46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Funzioni esecutive e </w:t>
            </w:r>
            <w:proofErr w:type="spellStart"/>
            <w:r>
              <w:rPr>
                <w:color w:val="474747"/>
              </w:rPr>
              <w:t>DSAp</w:t>
            </w:r>
            <w:proofErr w:type="spellEnd"/>
            <w:r>
              <w:rPr>
                <w:color w:val="474747"/>
              </w:rPr>
              <w:t xml:space="preserve">: principi teorici e </w:t>
            </w:r>
            <w:r>
              <w:rPr>
                <w:color w:val="474747"/>
              </w:rPr>
              <w:t>indicazioni pratiche</w:t>
            </w:r>
          </w:p>
        </w:tc>
      </w:tr>
      <w:tr w:rsidR="00EC272B" w14:paraId="582A390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A0A83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18.04.2020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156A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447A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STEFANO BERLOFFA /PAMELA FANTOZZI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B9BF2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DSM 5 e ICD 10: diagnosi nosografica.</w:t>
            </w:r>
          </w:p>
        </w:tc>
      </w:tr>
      <w:tr w:rsidR="00EC272B" w14:paraId="6192387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9305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1BDC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13.00-14.00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D6FC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Pausa pranzo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3F18" w14:textId="77777777" w:rsidR="00EC272B" w:rsidRDefault="00EC272B"/>
        </w:tc>
      </w:tr>
      <w:tr w:rsidR="00EC272B" w14:paraId="56C3ECD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E9CD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47DE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14.00-18.00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0D28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STEFANO BERLOFFA /PAMELA FANTOZZI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67498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Comorbilit</w:t>
            </w:r>
            <w:r>
              <w:rPr>
                <w:color w:val="474747"/>
              </w:rPr>
              <w:t xml:space="preserve">à </w:t>
            </w:r>
            <w:r>
              <w:rPr>
                <w:color w:val="474747"/>
              </w:rPr>
              <w:t>e diagnosi differenziale</w:t>
            </w:r>
          </w:p>
        </w:tc>
      </w:tr>
      <w:tr w:rsidR="00EC272B" w14:paraId="6DE0DDF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1FD9A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28.04.2020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ABC57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7FC58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SIMONETTA MONTI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924A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Il disturbo di apprendimento non verbale</w:t>
            </w:r>
          </w:p>
        </w:tc>
      </w:tr>
      <w:tr w:rsidR="00EC272B" w14:paraId="1EBBF25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8E8A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02.05.2020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274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1B18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  ARIANNA 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B34F8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Supervisione- intervisione di casi clinici. Esercitazione sulla </w:t>
            </w:r>
            <w:proofErr w:type="spellStart"/>
            <w:r>
              <w:rPr>
                <w:color w:val="474747"/>
              </w:rPr>
              <w:t>testistica</w:t>
            </w:r>
            <w:proofErr w:type="spellEnd"/>
            <w:r>
              <w:rPr>
                <w:color w:val="474747"/>
              </w:rPr>
              <w:t xml:space="preserve"> per i </w:t>
            </w:r>
            <w:proofErr w:type="spellStart"/>
            <w:r>
              <w:rPr>
                <w:color w:val="474747"/>
              </w:rPr>
              <w:t>DSAp</w:t>
            </w:r>
            <w:proofErr w:type="spellEnd"/>
            <w:r>
              <w:rPr>
                <w:color w:val="474747"/>
              </w:rPr>
              <w:t xml:space="preserve">. </w:t>
            </w:r>
          </w:p>
        </w:tc>
      </w:tr>
      <w:tr w:rsidR="00EC272B" w14:paraId="729D854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1B85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59954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13.00-14.00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077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Pausa pranzo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C21C" w14:textId="77777777" w:rsidR="00EC272B" w:rsidRDefault="00EC272B"/>
        </w:tc>
      </w:tr>
      <w:tr w:rsidR="00EC272B" w14:paraId="2CA69CB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340F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D952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14.00-18.00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0FA2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  ARIANNA 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18275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Come sostenere i genitori (</w:t>
            </w:r>
            <w:proofErr w:type="spellStart"/>
            <w:r>
              <w:rPr>
                <w:color w:val="474747"/>
              </w:rPr>
              <w:t>parent</w:t>
            </w:r>
            <w:proofErr w:type="spellEnd"/>
            <w:r>
              <w:rPr>
                <w:color w:val="474747"/>
              </w:rPr>
              <w:t xml:space="preserve"> training): basi teoriche e studio di casi </w:t>
            </w:r>
          </w:p>
        </w:tc>
      </w:tr>
      <w:tr w:rsidR="00EC272B" w14:paraId="143D80F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0CFF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05.05.2020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576B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89A55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LUCIA PAOLI E  ANGELA FRANCESCA MORI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8F76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Aspetti neuro-psicomotori nei </w:t>
            </w:r>
            <w:proofErr w:type="spellStart"/>
            <w:r>
              <w:rPr>
                <w:color w:val="474747"/>
              </w:rPr>
              <w:t>DSAp</w:t>
            </w:r>
            <w:proofErr w:type="spellEnd"/>
          </w:p>
        </w:tc>
      </w:tr>
      <w:tr w:rsidR="00EC272B" w14:paraId="171CB306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8D760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lastRenderedPageBreak/>
              <w:t>16.05.2020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4356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9.00-13-00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2FC55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SILVIA BONDI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7044B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Normativa di riferimento nazionale e </w:t>
            </w:r>
            <w:r>
              <w:rPr>
                <w:color w:val="474747"/>
              </w:rPr>
              <w:t>regionale</w:t>
            </w:r>
          </w:p>
        </w:tc>
      </w:tr>
      <w:tr w:rsidR="00EC272B" w14:paraId="14CA2D8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CB7BC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176DF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13.00-14.00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A1F1B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Pausa pranzo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1D55" w14:textId="77777777" w:rsidR="00EC272B" w:rsidRDefault="00EC272B"/>
        </w:tc>
      </w:tr>
      <w:tr w:rsidR="00EC272B" w14:paraId="5C56892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08FB9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6839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14.00-18.00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3F81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SILVIA BONDI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607D0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>Normativa di riferimento nazionale e regionale</w:t>
            </w:r>
          </w:p>
        </w:tc>
      </w:tr>
      <w:tr w:rsidR="00EC272B" w14:paraId="49CDEE6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BDA2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19.05.2020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D95A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21F1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SILVIA OTTOLENGHI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08FF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La valutazione ortottica per la diagnosi differenziale dei </w:t>
            </w:r>
            <w:proofErr w:type="spellStart"/>
            <w:r>
              <w:rPr>
                <w:color w:val="474747"/>
              </w:rPr>
              <w:t>DSAp</w:t>
            </w:r>
            <w:proofErr w:type="spellEnd"/>
          </w:p>
        </w:tc>
      </w:tr>
      <w:tr w:rsidR="00EC272B" w14:paraId="592FFA8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10352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26.05.2020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495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6AE2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SIMONETTA MONTI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64BB" w14:textId="77777777" w:rsidR="00EC272B" w:rsidRDefault="003512B8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  <w:color w:val="474747"/>
              </w:rPr>
              <w:t>Il lavoro integrato dell</w:t>
            </w:r>
            <w:r>
              <w:rPr>
                <w:b/>
                <w:bCs/>
                <w:color w:val="474747"/>
              </w:rPr>
              <w:t>’</w:t>
            </w:r>
            <w:r>
              <w:rPr>
                <w:b/>
                <w:bCs/>
                <w:color w:val="474747"/>
              </w:rPr>
              <w:t xml:space="preserve">equipe diagnostica multiprofessionale: stesura congiunta della relazione diagnostica e colloquio di restituzione </w:t>
            </w:r>
          </w:p>
        </w:tc>
      </w:tr>
      <w:tr w:rsidR="00EC272B" w14:paraId="3A659EC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E769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06.06.2020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5CDE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938D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GABRIELLA GUARNIERI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07F6E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Preparazione e stesura del piano didattico </w:t>
            </w:r>
            <w:r>
              <w:rPr>
                <w:color w:val="474747"/>
              </w:rPr>
              <w:t>personalizzato, misure e strumenti didattici, rapporti con la scuola e con gli insegnanti</w:t>
            </w:r>
          </w:p>
        </w:tc>
      </w:tr>
      <w:tr w:rsidR="00EC272B" w14:paraId="0A21871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80B9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3524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13.00-14.00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6A3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Pausa pranzo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918D" w14:textId="77777777" w:rsidR="00EC272B" w:rsidRDefault="00EC272B"/>
        </w:tc>
      </w:tr>
      <w:tr w:rsidR="00EC272B" w14:paraId="2E8FCB7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7864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F5F3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14.00-18.00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40B1B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GABRIELLA GUARNIERI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F403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Metodo di studio e strumenti compensativi </w:t>
            </w:r>
          </w:p>
        </w:tc>
      </w:tr>
      <w:tr w:rsidR="00EC272B" w14:paraId="75961C3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6CCB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09.06.2020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39C69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3ADD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JESSICA DI SANDRO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1E82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Trattamento </w:t>
            </w:r>
            <w:proofErr w:type="spellStart"/>
            <w:r>
              <w:rPr>
                <w:color w:val="474747"/>
              </w:rPr>
              <w:t>logpedico</w:t>
            </w:r>
            <w:proofErr w:type="spellEnd"/>
            <w:r>
              <w:rPr>
                <w:color w:val="474747"/>
              </w:rPr>
              <w:t xml:space="preserve"> di dislessia e disortografia</w:t>
            </w:r>
          </w:p>
        </w:tc>
      </w:tr>
      <w:tr w:rsidR="00EC272B" w14:paraId="7807993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8222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13.06.2020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1DA7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7E9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 xml:space="preserve">  ARIANNA TOZZI 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2D8F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La diagnosi </w:t>
            </w:r>
            <w:proofErr w:type="spellStart"/>
            <w:r>
              <w:rPr>
                <w:color w:val="474747"/>
              </w:rPr>
              <w:t>DSAp</w:t>
            </w:r>
            <w:proofErr w:type="spellEnd"/>
            <w:r>
              <w:rPr>
                <w:color w:val="474747"/>
              </w:rPr>
              <w:t xml:space="preserve"> nell</w:t>
            </w:r>
            <w:r>
              <w:rPr>
                <w:color w:val="474747"/>
              </w:rPr>
              <w:t>’</w:t>
            </w:r>
            <w:r>
              <w:rPr>
                <w:color w:val="474747"/>
              </w:rPr>
              <w:t xml:space="preserve">arco di vita: differenze tra </w:t>
            </w:r>
            <w:proofErr w:type="spellStart"/>
            <w:r>
              <w:rPr>
                <w:color w:val="474747"/>
              </w:rPr>
              <w:t>DSAp</w:t>
            </w:r>
            <w:proofErr w:type="spellEnd"/>
            <w:r>
              <w:rPr>
                <w:color w:val="474747"/>
              </w:rPr>
              <w:t xml:space="preserve"> infanzia ed et</w:t>
            </w:r>
            <w:r>
              <w:rPr>
                <w:color w:val="474747"/>
              </w:rPr>
              <w:t xml:space="preserve">à </w:t>
            </w:r>
            <w:r>
              <w:rPr>
                <w:color w:val="474747"/>
              </w:rPr>
              <w:t xml:space="preserve">adulta </w:t>
            </w:r>
          </w:p>
        </w:tc>
      </w:tr>
      <w:tr w:rsidR="00EC272B" w14:paraId="1CC012A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DE41E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2699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13.00-14.00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6AF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Pausa pranzo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4B3B" w14:textId="77777777" w:rsidR="00EC272B" w:rsidRDefault="00EC272B"/>
        </w:tc>
      </w:tr>
      <w:tr w:rsidR="00EC272B" w14:paraId="61B3528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2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E3E5" w14:textId="77777777" w:rsidR="00EC272B" w:rsidRDefault="00EC272B"/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7D63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14.00-18.00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3DD1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FILIPPO MARTELLACCI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E68B1" w14:textId="77777777" w:rsidR="00EC272B" w:rsidRDefault="003512B8">
            <w:pPr>
              <w:pStyle w:val="Stiletabell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color w:val="474747"/>
              </w:rPr>
              <w:t xml:space="preserve">Trattamento neuropsicologico e metacognitivo </w:t>
            </w:r>
          </w:p>
        </w:tc>
      </w:tr>
      <w:tr w:rsidR="00EC272B" w14:paraId="66E352B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  <w:jc w:val="center"/>
        </w:trPr>
        <w:tc>
          <w:tcPr>
            <w:tcW w:w="1512" w:type="dxa"/>
            <w:tcBorders>
              <w:top w:val="single" w:sz="2" w:space="0" w:color="A0A0A0"/>
              <w:left w:val="single" w:sz="4" w:space="0" w:color="A0A0A0"/>
              <w:bottom w:val="single" w:sz="4" w:space="0" w:color="A0A0A0"/>
              <w:right w:val="single" w:sz="6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2B5A1" w14:textId="77777777" w:rsidR="00EC272B" w:rsidRDefault="003512B8">
            <w:pPr>
              <w:pStyle w:val="Stiletabella2"/>
              <w:tabs>
                <w:tab w:val="left" w:pos="720"/>
                <w:tab w:val="left" w:pos="1440"/>
              </w:tabs>
              <w:jc w:val="center"/>
            </w:pPr>
            <w:r>
              <w:rPr>
                <w:b/>
                <w:bCs/>
                <w:color w:val="474747"/>
              </w:rPr>
              <w:t>23.06.2020</w:t>
            </w:r>
          </w:p>
        </w:tc>
        <w:tc>
          <w:tcPr>
            <w:tcW w:w="1796" w:type="dxa"/>
            <w:tcBorders>
              <w:top w:val="single" w:sz="2" w:space="0" w:color="C0C0C0"/>
              <w:left w:val="single" w:sz="6" w:space="0" w:color="929292"/>
              <w:bottom w:val="single" w:sz="4" w:space="0" w:color="A0A0A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A320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09.00-13.00</w:t>
            </w:r>
          </w:p>
        </w:tc>
        <w:tc>
          <w:tcPr>
            <w:tcW w:w="2134" w:type="dxa"/>
            <w:tcBorders>
              <w:top w:val="single" w:sz="2" w:space="0" w:color="C0C0C0"/>
              <w:left w:val="single" w:sz="2" w:space="0" w:color="C0C0C0"/>
              <w:bottom w:val="single" w:sz="4" w:space="0" w:color="A0A0A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4E0F6" w14:textId="77777777" w:rsidR="00EC272B" w:rsidRDefault="003512B8">
            <w:pPr>
              <w:pStyle w:val="Stiletabella3"/>
              <w:tabs>
                <w:tab w:val="left" w:pos="720"/>
                <w:tab w:val="left" w:pos="1440"/>
              </w:tabs>
              <w:jc w:val="center"/>
            </w:pPr>
            <w:r>
              <w:rPr>
                <w:color w:val="474747"/>
              </w:rPr>
              <w:t>ARIANNA TOZZI</w:t>
            </w:r>
          </w:p>
        </w:tc>
        <w:tc>
          <w:tcPr>
            <w:tcW w:w="3444" w:type="dxa"/>
            <w:tcBorders>
              <w:top w:val="single" w:sz="2" w:space="0" w:color="C0C0C0"/>
              <w:left w:val="single" w:sz="2" w:space="0" w:color="C0C0C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0B25" w14:textId="77777777" w:rsidR="00EC272B" w:rsidRDefault="003512B8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b/>
                <w:bCs/>
                <w:color w:val="474747"/>
              </w:rPr>
              <w:t xml:space="preserve">Supervisione intervisione di casi clinici. Esercitazione sulla </w:t>
            </w:r>
            <w:proofErr w:type="spellStart"/>
            <w:r>
              <w:rPr>
                <w:b/>
                <w:bCs/>
                <w:color w:val="474747"/>
              </w:rPr>
              <w:t>testistica</w:t>
            </w:r>
            <w:proofErr w:type="spellEnd"/>
            <w:r>
              <w:rPr>
                <w:b/>
                <w:bCs/>
                <w:color w:val="474747"/>
              </w:rPr>
              <w:t xml:space="preserve"> per i </w:t>
            </w:r>
            <w:proofErr w:type="spellStart"/>
            <w:r>
              <w:rPr>
                <w:b/>
                <w:bCs/>
                <w:color w:val="474747"/>
              </w:rPr>
              <w:t>DSAp</w:t>
            </w:r>
            <w:proofErr w:type="spellEnd"/>
            <w:r>
              <w:rPr>
                <w:b/>
                <w:bCs/>
                <w:color w:val="474747"/>
              </w:rPr>
              <w:t>. Colloquio ECM. Chiusura del corso.</w:t>
            </w:r>
          </w:p>
        </w:tc>
      </w:tr>
    </w:tbl>
    <w:p w14:paraId="39EA4E17" w14:textId="77777777" w:rsidR="00EC272B" w:rsidRDefault="00EC272B">
      <w:pPr>
        <w:spacing w:after="0"/>
        <w:jc w:val="center"/>
        <w:rPr>
          <w:rFonts w:ascii="Helvetica" w:eastAsia="Helvetica" w:hAnsi="Helvetica" w:cs="Helvetica"/>
          <w:b/>
          <w:bCs/>
          <w:color w:val="993366"/>
          <w:sz w:val="24"/>
          <w:szCs w:val="24"/>
          <w:u w:color="993366"/>
        </w:rPr>
      </w:pPr>
    </w:p>
    <w:p w14:paraId="6CC2A6FD" w14:textId="77777777" w:rsidR="00EC272B" w:rsidRDefault="00EC272B">
      <w:pPr>
        <w:spacing w:after="0"/>
        <w:jc w:val="center"/>
      </w:pPr>
    </w:p>
    <w:sectPr w:rsidR="00EC272B">
      <w:headerReference w:type="default" r:id="rId6"/>
      <w:footerReference w:type="default" r:id="rId7"/>
      <w:pgSz w:w="11900" w:h="16840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82E8" w14:textId="77777777" w:rsidR="00000000" w:rsidRDefault="003512B8">
      <w:pPr>
        <w:spacing w:after="0" w:line="240" w:lineRule="auto"/>
      </w:pPr>
      <w:r>
        <w:separator/>
      </w:r>
    </w:p>
  </w:endnote>
  <w:endnote w:type="continuationSeparator" w:id="0">
    <w:p w14:paraId="055D95CB" w14:textId="77777777" w:rsidR="00000000" w:rsidRDefault="0035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E584" w14:textId="77777777" w:rsidR="00EC272B" w:rsidRDefault="00EC272B">
    <w:pPr>
      <w:pStyle w:val="Pidipagina"/>
      <w:tabs>
        <w:tab w:val="clear" w:pos="9638"/>
        <w:tab w:val="right" w:pos="9612"/>
      </w:tabs>
      <w:jc w:val="center"/>
      <w:rPr>
        <w:rFonts w:ascii="Helvetica" w:hAnsi="Helvetica"/>
        <w:b/>
        <w:bCs/>
        <w:i/>
        <w:iCs/>
        <w:sz w:val="18"/>
        <w:szCs w:val="18"/>
      </w:rPr>
    </w:pPr>
  </w:p>
  <w:p w14:paraId="26DDCF9C" w14:textId="77777777" w:rsidR="00EC272B" w:rsidRDefault="003512B8">
    <w:pPr>
      <w:pStyle w:val="Pidipagina"/>
      <w:tabs>
        <w:tab w:val="clear" w:pos="9638"/>
        <w:tab w:val="right" w:pos="9612"/>
      </w:tabs>
      <w:jc w:val="center"/>
      <w:rPr>
        <w:rFonts w:ascii="Times New Roman" w:eastAsia="Times New Roman" w:hAnsi="Times New Roman" w:cs="Times New Roman"/>
        <w:b/>
        <w:bCs/>
        <w:i/>
        <w:iCs/>
      </w:rPr>
    </w:pPr>
    <w:r>
      <w:rPr>
        <w:rFonts w:ascii="Times New Roman" w:hAnsi="Times New Roman"/>
        <w:b/>
        <w:bCs/>
        <w:i/>
        <w:iCs/>
        <w:color w:val="0033CC"/>
        <w:sz w:val="28"/>
        <w:szCs w:val="28"/>
        <w:u w:color="0033CC"/>
      </w:rPr>
      <w:t>Partner-Graf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bCs/>
        <w:i/>
        <w:iCs/>
        <w:sz w:val="20"/>
        <w:szCs w:val="20"/>
      </w:rPr>
      <w:t>S.r</w:t>
    </w:r>
    <w:proofErr w:type="spellEnd"/>
    <w:r>
      <w:rPr>
        <w:rFonts w:ascii="Times New Roman" w:hAnsi="Times New Roman"/>
        <w:b/>
        <w:bCs/>
        <w:i/>
        <w:iCs/>
        <w:sz w:val="20"/>
        <w:szCs w:val="20"/>
      </w:rPr>
      <w:t xml:space="preserve"> l.</w:t>
    </w:r>
  </w:p>
  <w:p w14:paraId="26725CEB" w14:textId="77777777" w:rsidR="00EC272B" w:rsidRDefault="003512B8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>Sede legale e operativa: Via F. Ferrucci, 73 – 59100 PRATO (PO)</w:t>
    </w:r>
  </w:p>
  <w:p w14:paraId="0C6358E9" w14:textId="77777777" w:rsidR="00EC272B" w:rsidRDefault="003512B8">
    <w:pPr>
      <w:pStyle w:val="Pidipagina"/>
      <w:tabs>
        <w:tab w:val="clear" w:pos="9638"/>
        <w:tab w:val="right" w:pos="9612"/>
      </w:tabs>
      <w:jc w:val="center"/>
    </w:pPr>
    <w:r>
      <w:rPr>
        <w:sz w:val="20"/>
        <w:szCs w:val="20"/>
      </w:rPr>
      <w:t xml:space="preserve">Tel. 0574 527949 – Fax 0574 636250 - e-mail: </w:t>
    </w:r>
    <w:hyperlink r:id="rId1" w:history="1">
      <w:r>
        <w:rPr>
          <w:rStyle w:val="Hyperlink0"/>
        </w:rPr>
        <w:t>info@partnergraf.it</w:t>
      </w:r>
    </w:hyperlink>
    <w:r>
      <w:t xml:space="preserve"> – </w:t>
    </w:r>
    <w:r>
      <w:rPr>
        <w:color w:val="0033CC"/>
        <w:u w:color="0033CC"/>
      </w:rPr>
      <w:t>www.partnergraf.it</w:t>
    </w:r>
  </w:p>
  <w:p w14:paraId="5A56A0F2" w14:textId="77777777" w:rsidR="00EC272B" w:rsidRDefault="003512B8">
    <w:pPr>
      <w:pStyle w:val="Pidipagina"/>
      <w:tabs>
        <w:tab w:val="clear" w:pos="9638"/>
        <w:tab w:val="left" w:pos="8627"/>
        <w:tab w:val="right" w:pos="9612"/>
      </w:tabs>
    </w:pPr>
    <w:r>
      <w:rPr>
        <w:sz w:val="20"/>
        <w:szCs w:val="20"/>
      </w:rPr>
      <w:tab/>
    </w:r>
    <w:proofErr w:type="spellStart"/>
    <w:r>
      <w:rPr>
        <w:sz w:val="20"/>
        <w:szCs w:val="20"/>
      </w:rPr>
      <w:t>p.iva</w:t>
    </w:r>
    <w:proofErr w:type="spellEnd"/>
    <w:r>
      <w:rPr>
        <w:sz w:val="20"/>
        <w:szCs w:val="20"/>
      </w:rPr>
      <w:t xml:space="preserve"> e </w:t>
    </w:r>
    <w:proofErr w:type="spellStart"/>
    <w:r>
      <w:rPr>
        <w:sz w:val="20"/>
        <w:szCs w:val="20"/>
      </w:rPr>
      <w:t>c.fiscale</w:t>
    </w:r>
    <w:proofErr w:type="spellEnd"/>
    <w:r>
      <w:rPr>
        <w:sz w:val="20"/>
        <w:szCs w:val="20"/>
      </w:rPr>
      <w:t xml:space="preserve"> 02121570978 - Capitale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. </w:t>
    </w:r>
    <w:r>
      <w:rPr>
        <w:sz w:val="20"/>
        <w:szCs w:val="20"/>
      </w:rPr>
      <w:t>€ 20.000 Int. Ver.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9E14" w14:textId="77777777" w:rsidR="00000000" w:rsidRDefault="003512B8">
      <w:pPr>
        <w:spacing w:after="0" w:line="240" w:lineRule="auto"/>
      </w:pPr>
      <w:r>
        <w:separator/>
      </w:r>
    </w:p>
  </w:footnote>
  <w:footnote w:type="continuationSeparator" w:id="0">
    <w:p w14:paraId="059506E5" w14:textId="77777777" w:rsidR="00000000" w:rsidRDefault="0035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1FD5" w14:textId="77777777" w:rsidR="00EC272B" w:rsidRDefault="003512B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481772" wp14:editId="67B81CC5">
          <wp:simplePos x="0" y="0"/>
          <wp:positionH relativeFrom="page">
            <wp:posOffset>600710</wp:posOffset>
          </wp:positionH>
          <wp:positionV relativeFrom="page">
            <wp:posOffset>-133984</wp:posOffset>
          </wp:positionV>
          <wp:extent cx="1932940" cy="822960"/>
          <wp:effectExtent l="0" t="0" r="0" b="0"/>
          <wp:wrapNone/>
          <wp:docPr id="1073741825" name="officeArt object" descr="logo_graf_SR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graf_SRL.jpg" descr="logo_graf_SR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940" cy="822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349FCA" wp14:editId="06E2C348">
              <wp:simplePos x="0" y="0"/>
              <wp:positionH relativeFrom="page">
                <wp:posOffset>-249555</wp:posOffset>
              </wp:positionH>
              <wp:positionV relativeFrom="page">
                <wp:posOffset>10170478</wp:posOffset>
              </wp:positionV>
              <wp:extent cx="7889241" cy="635"/>
              <wp:effectExtent l="0" t="0" r="0" b="0"/>
              <wp:wrapNone/>
              <wp:docPr id="1073741826" name="officeArt object" descr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9241" cy="63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19.7pt;margin-top:800.8pt;width:62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14:paraId="3AD1FFAD" w14:textId="77777777" w:rsidR="00EC272B" w:rsidRDefault="00EC272B">
    <w:pPr>
      <w:pStyle w:val="Intestazione"/>
      <w:tabs>
        <w:tab w:val="clear" w:pos="9638"/>
        <w:tab w:val="right" w:pos="9612"/>
      </w:tabs>
    </w:pPr>
  </w:p>
  <w:p w14:paraId="254A6CC3" w14:textId="77777777" w:rsidR="00EC272B" w:rsidRDefault="00EC272B">
    <w:pPr>
      <w:pStyle w:val="Intestazione"/>
      <w:tabs>
        <w:tab w:val="clear" w:pos="9638"/>
        <w:tab w:val="right" w:pos="9612"/>
      </w:tabs>
    </w:pPr>
  </w:p>
  <w:p w14:paraId="333B314F" w14:textId="77777777" w:rsidR="00EC272B" w:rsidRDefault="00EC272B">
    <w:pPr>
      <w:pStyle w:val="Intestazione"/>
      <w:tabs>
        <w:tab w:val="clear" w:pos="9638"/>
        <w:tab w:val="right" w:pos="9612"/>
      </w:tabs>
    </w:pPr>
  </w:p>
  <w:p w14:paraId="00DF6D95" w14:textId="77777777" w:rsidR="00EC272B" w:rsidRDefault="00EC272B">
    <w:pPr>
      <w:pStyle w:val="Intestazione"/>
      <w:tabs>
        <w:tab w:val="clear" w:pos="9638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2B"/>
    <w:rsid w:val="003512B8"/>
    <w:rsid w:val="00D80335"/>
    <w:rsid w:val="00E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BC9"/>
  <w15:docId w15:val="{7E9CF6DA-C9DB-4AB6-BF24-87A3CA2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3">
    <w:name w:val="Stile tabella 3"/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tnergr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Zerbinati</dc:creator>
  <cp:lastModifiedBy>Serena Zerbinati</cp:lastModifiedBy>
  <cp:revision>3</cp:revision>
  <cp:lastPrinted>2020-03-10T16:45:00Z</cp:lastPrinted>
  <dcterms:created xsi:type="dcterms:W3CDTF">2020-03-10T16:44:00Z</dcterms:created>
  <dcterms:modified xsi:type="dcterms:W3CDTF">2020-03-10T16:45:00Z</dcterms:modified>
</cp:coreProperties>
</file>